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84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ДОГОВОР   ПОСТАВКИ   ВОДЫ   №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83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83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г.</w:t>
      </w:r>
      <w:r>
        <w:rPr>
          <w:rFonts w:ascii="Times New Roman" w:hAnsi="Times New Roman"/>
          <w:sz w:val="22"/>
        </w:rPr>
        <w:t xml:space="preserve">_____________ </w:t>
      </w:r>
      <w:r>
        <w:rPr>
          <w:rFonts w:ascii="Times New Roman" w:hAnsi="Times New Roman"/>
          <w:sz w:val="22"/>
        </w:rPr>
        <w:tab/>
        <w:tab/>
        <w:tab/>
        <w:tab/>
        <w:tab/>
        <w:tab/>
      </w:r>
      <w:r>
        <w:rPr>
          <w:rFonts w:ascii="Times New Roman" w:hAnsi="Times New Roman"/>
          <w:sz w:val="22"/>
        </w:rPr>
        <w:t xml:space="preserve">          </w:t>
      </w:r>
      <w:r>
        <w:rPr>
          <w:rFonts w:ascii="Times New Roman" w:hAnsi="Times New Roman"/>
          <w:sz w:val="22"/>
          <w:u w:val="none"/>
        </w:rPr>
        <w:t xml:space="preserve">  </w:t>
      </w:r>
      <w:r>
        <w:rPr>
          <w:rFonts w:ascii="Times New Roman" w:hAnsi="Times New Roman"/>
          <w:sz w:val="22"/>
          <w:u w:val="none"/>
        </w:rPr>
        <w:t xml:space="preserve"> «</w:t>
      </w:r>
      <w:r>
        <w:rPr>
          <w:rFonts w:ascii="Times New Roman" w:hAnsi="Times New Roman"/>
          <w:sz w:val="22"/>
          <w:u w:val="none"/>
        </w:rPr>
        <w:t xml:space="preserve">____</w:t>
      </w:r>
      <w:r>
        <w:rPr>
          <w:rFonts w:ascii="Times New Roman" w:hAnsi="Times New Roman"/>
          <w:sz w:val="22"/>
          <w:u w:val="none"/>
        </w:rPr>
        <w:t xml:space="preserve">»</w:t>
      </w:r>
      <w:r>
        <w:rPr>
          <w:rFonts w:ascii="Times New Roman" w:hAnsi="Times New Roman"/>
          <w:sz w:val="22"/>
          <w:u w:val="none"/>
        </w:rPr>
        <w:t xml:space="preserve">   </w:t>
      </w:r>
      <w:r>
        <w:rPr>
          <w:rFonts w:ascii="Times New Roman" w:hAnsi="Times New Roman"/>
          <w:sz w:val="22"/>
          <w:u w:val="none"/>
        </w:rPr>
        <w:t xml:space="preserve">________</w:t>
      </w:r>
      <w:r>
        <w:rPr>
          <w:rFonts w:ascii="Times New Roman" w:hAnsi="Times New Roman"/>
          <w:sz w:val="22"/>
          <w:u w:val="none"/>
        </w:rPr>
        <w:t xml:space="preserve"> </w:t>
      </w:r>
      <w:r>
        <w:rPr>
          <w:rFonts w:ascii="Times New Roman" w:hAnsi="Times New Roman"/>
          <w:sz w:val="22"/>
          <w:u w:val="none"/>
        </w:rPr>
        <w:t xml:space="preserve"> </w:t>
      </w:r>
      <w:r>
        <w:rPr>
          <w:rFonts w:ascii="Times New Roman" w:hAnsi="Times New Roman"/>
          <w:sz w:val="22"/>
          <w:u w:val="none"/>
        </w:rPr>
        <w:t xml:space="preserve">20___</w:t>
      </w:r>
      <w:r>
        <w:rPr>
          <w:rFonts w:ascii="Times New Roman" w:hAnsi="Times New Roman"/>
          <w:sz w:val="22"/>
          <w:u w:val="none"/>
        </w:rPr>
        <w:t xml:space="preserve"> </w:t>
      </w:r>
      <w:r>
        <w:rPr>
          <w:rFonts w:ascii="Times New Roman" w:hAnsi="Times New Roman"/>
          <w:sz w:val="22"/>
          <w:u w:val="none"/>
        </w:rPr>
        <w:t xml:space="preserve">г.    </w:t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83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83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</w:rPr>
      </w:r>
    </w:p>
    <w:p>
      <w:pPr>
        <w:pStyle w:val="836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1"/>
        <w:ind w:firstLine="85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  <w:t xml:space="preserve">кционерное общество «Дальневосточная генерирующая компания»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</w:rPr>
        <w:t xml:space="preserve">«Продавец»</w:t>
      </w:r>
      <w:r>
        <w:rPr>
          <w:rFonts w:ascii="Times New Roman" w:hAnsi="Times New Roman"/>
        </w:rPr>
        <w:t xml:space="preserve">, в лице директора </w:t>
      </w:r>
      <w:r>
        <w:rPr>
          <w:rFonts w:ascii="Times New Roman" w:hAnsi="Times New Roman"/>
        </w:rPr>
        <w:t xml:space="preserve"> ___________________</w:t>
      </w:r>
      <w:r>
        <w:rPr>
          <w:rFonts w:ascii="Times New Roman" w:hAnsi="Times New Roman"/>
        </w:rPr>
        <w:t xml:space="preserve">__________________________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действующего на основании доверенности </w:t>
      </w:r>
      <w:r>
        <w:rPr>
          <w:rFonts w:ascii="Times New Roman" w:hAnsi="Times New Roman"/>
        </w:rPr>
        <w:t xml:space="preserve">№__________________</w:t>
      </w:r>
      <w:r>
        <w:rPr>
          <w:rFonts w:ascii="Times New Roman" w:hAnsi="Times New Roman"/>
        </w:rPr>
        <w:t xml:space="preserve">с одной стороны, и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_________________</w:t>
      </w:r>
      <w:r>
        <w:rPr>
          <w:rFonts w:ascii="Times New Roman" w:hAnsi="Times New Roman"/>
        </w:rPr>
        <w:t xml:space="preserve"> именуемое в дальнейшем </w:t>
      </w:r>
      <w:r>
        <w:rPr>
          <w:rFonts w:ascii="Times New Roman" w:hAnsi="Times New Roman"/>
          <w:b/>
        </w:rPr>
        <w:t xml:space="preserve">«Покупатель»,</w:t>
      </w:r>
      <w:r>
        <w:rPr>
          <w:rFonts w:ascii="Times New Roman" w:hAnsi="Times New Roman"/>
        </w:rPr>
        <w:t xml:space="preserve"> в лице директор</w:t>
      </w:r>
      <w:r>
        <w:rPr>
          <w:rFonts w:ascii="Times New Roman" w:hAnsi="Times New Roman"/>
        </w:rPr>
        <w:t xml:space="preserve"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_________________________</w:t>
      </w:r>
      <w:r>
        <w:rPr>
          <w:rFonts w:ascii="Times New Roman" w:hAnsi="Times New Roman"/>
        </w:rPr>
        <w:t xml:space="preserve">, действующего на основании Устава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с другой стороны, заключили  настоящий договор о нижеследующем: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1"/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Предмет договора.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46"/>
        <w:numPr>
          <w:ilvl w:val="1"/>
          <w:numId w:val="1"/>
        </w:numPr>
        <w:ind w:left="0" w:firstLine="709"/>
        <w:jc w:val="both"/>
        <w:tabs>
          <w:tab w:val="num" w:pos="0" w:leader="none"/>
          <w:tab w:val="clear" w:pos="1129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настоящему договору Продавец обязуется отпускать Покупателю техническую воду </w:t>
      </w:r>
      <w:r>
        <w:rPr>
          <w:rFonts w:ascii="Times New Roman" w:hAnsi="Times New Roman"/>
          <w:sz w:val="24"/>
        </w:rPr>
        <w:t xml:space="preserve">в объеме установленного лимита ________</w:t>
      </w:r>
      <w:r>
        <w:rPr>
          <w:rFonts w:ascii="Times New Roman" w:hAnsi="Times New Roman"/>
          <w:sz w:val="24"/>
        </w:rPr>
        <w:t xml:space="preserve"> метров кубических в месяц с круглосуточным режимом отпуска.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46"/>
        <w:numPr>
          <w:ilvl w:val="1"/>
          <w:numId w:val="1"/>
        </w:numPr>
        <w:ind w:left="0" w:firstLine="709"/>
        <w:jc w:val="both"/>
        <w:tabs>
          <w:tab w:val="num" w:pos="0" w:leader="none"/>
          <w:tab w:val="clear" w:pos="1129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Техническая вода не соответствует СанПиНу _____________, т.е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  <w:t xml:space="preserve"> не должна применяться для потребления населением в питьевых целях, для использования в процессах переработки продовольственного сырья и производства пищевых продуктов, а также для производства продукции, требующей применения воды питьевого качества.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36"/>
        <w:numPr>
          <w:ilvl w:val="1"/>
          <w:numId w:val="1"/>
        </w:numPr>
        <w:ind w:left="0" w:firstLine="709"/>
        <w:jc w:val="both"/>
        <w:tabs>
          <w:tab w:val="clear" w:pos="112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Поставка воды осуществляется в </w:t>
      </w:r>
      <w:r>
        <w:rPr>
          <w:rFonts w:ascii="Times New Roman" w:hAnsi="Times New Roman"/>
        </w:rPr>
        <w:t xml:space="preserve">течение всего года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6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36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pStyle w:val="836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  <w:r>
        <w:rPr>
          <w:rFonts w:ascii="Times New Roman" w:hAnsi="Times New Roman"/>
          <w:u w:val="single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Обязательства сторон.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2.1. Продавец обязуется: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подавать Покупателю воду с круглосуточным режимом отпуска;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производить операции по изменению схемы подачи воды с уведомлением Покупателя.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производить обслуживание, ремонтные работы (плановые, неплановые в случае повреждения трубопровода и т.д.) в соответствии со схемой разграничения зон обслуживания (Приложение №1).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2.2. Обязанности Покупателя: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своевременно производить оплату за полученную воду;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соблюдать установленный режим водопотребления;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обеспечивать беспрепятственный допуск работников Продавца для осуществления контрольных функций;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немедленно сообщать Продавцу об авариях, пожарах, неисправностях и иных нарушениях, связанных с потреблением воды;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 производить операции по изменению режима потребления только после согласования с начальником смены станции </w:t>
      </w:r>
      <w:r>
        <w:rPr>
          <w:rFonts w:ascii="Times New Roman" w:hAnsi="Times New Roman"/>
        </w:rPr>
        <w:t xml:space="preserve">СП </w:t>
      </w:r>
      <w:r>
        <w:rPr>
          <w:rFonts w:ascii="Times New Roman" w:hAnsi="Times New Roman"/>
        </w:rPr>
        <w:t xml:space="preserve">АТЭЦ и начальником турбинного цеха </w:t>
      </w:r>
      <w:r>
        <w:rPr>
          <w:rFonts w:ascii="Times New Roman" w:hAnsi="Times New Roman"/>
        </w:rPr>
        <w:t xml:space="preserve">СП </w:t>
      </w:r>
      <w:r>
        <w:rPr>
          <w:rFonts w:ascii="Times New Roman" w:hAnsi="Times New Roman"/>
        </w:rPr>
        <w:t xml:space="preserve">Артемовской ТЭЦ.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Порядок учета.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3.1. Покупатель обеспечивает учет полученной воды по показаниям поверенных средств измерений, внесенных в государственный реестр, установленных на водоводе </w:t>
      </w:r>
      <w:r>
        <w:rPr>
          <w:rFonts w:ascii="Times New Roman" w:hAnsi="Times New Roman"/>
        </w:rPr>
        <w:t xml:space="preserve">СП </w:t>
      </w:r>
      <w:r>
        <w:rPr>
          <w:rFonts w:ascii="Times New Roman" w:hAnsi="Times New Roman"/>
        </w:rPr>
        <w:t xml:space="preserve">АТЭЦ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При ремонте средств измерения, но не более 30 дней, определение фактического потребления воды производится по среднемесячному показателю потребления за последние 3 месяца.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отсутствии приборов учета более 30 дней, отсутствии показан</w:t>
      </w:r>
      <w:r>
        <w:rPr>
          <w:rFonts w:ascii="Times New Roman" w:hAnsi="Times New Roman"/>
        </w:rPr>
        <w:t xml:space="preserve">ий потребления технической воды за последние 3 месяца расчет водопотребления производится по пропускной способности водовода как произведение внутреннего поперечного сечения водовода на скорость движения среды 1,2 м/сек на расчетный период водопотребления.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3.2. Ответственность за ненадлежащее состояние и исправность приборов учета, а также их своевременную поверку несет Покупатель.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Неопломбированные средства измерений в эксплуатацию не допускаются.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3.3. Приемка в эксплуатацию приборов учета осуществляется в присутствии представителя Продавца с составление акта.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3.4. Доказательством потребления воды Покупателем является подписанный ежемесячно совместно с Продавцом акт, подтверждающий фактический отпуск воды.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показаний приборов учета,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при ремонте средств измерений, но не более 30-ти дней - на основе расчета среднемесячного потребления за последние 3 месяца, предшествующих расчетному периоду.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3.5.Акт составляется в последние пять дней месяца (время согласуется сторонами телефонограммами). В случае неявки одной из сторон, акт составляется в одностороннем порядке и предоставляется в течение суток, акт считается принятым в первоначальной редакции.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Цена и порядок расчетов.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Оплата по настоящему договору осуществляется «Заказчиком» по тарифам, утвержденным Постановлением Департамента по тарифам Приморского края от ___________ г. №_________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Установленный тариф на техническую воду составляет: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период с ____________ года по ____________  года - _____ руб. _____ коп. за 1 кубический метр без налога на добавленную стоимость;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период с ____________ года по ____________  года - _____ руб. _____ коп. за 1 кубический метр без налога на добавленную стоимость.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/>
        </w:rPr>
        <w:t xml:space="preserve">Расчеты осуществляются в безналичном порядке на основе предъявленного счета-фактуры и акта приемки продукции. Оплата осуществляется до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-го числа месяца, следующего за расчетным. Днем оплаты считается день поступления денежных средств на расчетный счет.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если Покупатель вносит плату с задержкой более 5-ти рабочих дней Продавец вправе взыскать с него пеню в размере 0,1% от суммы платежа за каждый день просрочки.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4.3. Расчетным периодом для оплаты услуги является календарный месяц.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5.Рассмотрение споров.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5.1.При не достижения согласия, неисполнении или ненадлежащем исполнении Сторонами обязательств по настоящему Договору все споры решаются в Арбитражном суде Приморского края.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5.2. Претензия направляется по адресу стороны, указанному в реквизитах договора, и должна содержать: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сведения о заявителе (наименование, местонахождение, адрес);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содержание спора, разногласий;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другие сведения по усмотрению стороны.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5.3. Сторона, получившая претензию, в течение 5 рабочих дней со дня ее получения обязана рассмотреть претензию и дать ответ.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Стороны составляют акт об урегулировании спора (разногласий).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ind w:firstLine="709"/>
        <w:jc w:val="both"/>
        <w:tabs>
          <w:tab w:val="left" w:pos="1134" w:leader="none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5.5. В случае недостижения сторонами согласия, спор и разногласия, возникшие из настоящего договора, подлежат урегулированию в суде в порядке, установленном законодательством Российской Федерации.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Срок действия договора, порядок  расторжения.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6.1. Договор </w:t>
      </w:r>
      <w:r>
        <w:rPr>
          <w:rFonts w:ascii="Times New Roman" w:hAnsi="Times New Roman"/>
        </w:rPr>
        <w:t xml:space="preserve">вступает в силу с </w:t>
      </w:r>
      <w:r>
        <w:rPr>
          <w:rFonts w:ascii="Times New Roman" w:hAnsi="Times New Roman"/>
        </w:rPr>
        <w:t xml:space="preserve">________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 xml:space="preserve">. и дей</w:t>
      </w:r>
      <w:r>
        <w:rPr>
          <w:rFonts w:ascii="Times New Roman" w:hAnsi="Times New Roman"/>
        </w:rPr>
        <w:t xml:space="preserve">ствует до </w:t>
      </w:r>
      <w:r>
        <w:rPr>
          <w:rFonts w:ascii="Times New Roman" w:hAnsi="Times New Roman"/>
        </w:rPr>
        <w:t xml:space="preserve">__________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 xml:space="preserve">__</w:t>
      </w:r>
      <w:r>
        <w:rPr>
          <w:rFonts w:ascii="Times New Roman" w:hAnsi="Times New Roman"/>
        </w:rPr>
        <w:t xml:space="preserve"> года.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5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договора продлевается на тот же срок и тех же условиях, если за месяц до  окончания срока его действия ни одна из сторон не заявит о его прекращении, изменении, либо о заключении нового договора.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6.2. При досрочном расторжении сторона обязана предупредить о намерении за месяц.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6.3.Во всем ином, не предусмотренном настоящим договором, стороны руководствуются действующим законодательством.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7. Ответственность сторон.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7.1. Ответственность сторон наступает в соответствии с действующим законодательством.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7.2. Ответственность за доведение до нормативов качества потребляемой воды несет Покупатель.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Адреса и реквизиты сторон.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3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10633" w:type="dxa"/>
        <w:tblInd w:w="-3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8"/>
        <w:gridCol w:w="524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Продавец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t xml:space="preserve">А</w:t>
            </w:r>
            <w:r>
              <w:rPr>
                <w:rFonts w:ascii="Times New Roman" w:hAnsi="Times New Roman"/>
                <w:b/>
              </w:rPr>
              <w:t xml:space="preserve">кционерное общество «Дальневосточная генерирующая компания»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36"/>
              <w:ind w:left="34"/>
              <w:spacing w:before="100" w:beforeAutospacing="1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b/>
              </w:rPr>
              <w:t xml:space="preserve">А</w:t>
            </w:r>
            <w:r>
              <w:rPr>
                <w:rFonts w:ascii="Times New Roman" w:hAnsi="Times New Roman"/>
                <w:b/>
              </w:rPr>
              <w:t xml:space="preserve">кционерное общество «Дальневосточная генерирующая компания»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left="34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Юр. адрес: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left="34"/>
              <w:spacing w:before="5" w:line="269" w:lineRule="exact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Почт. адрес: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left="34"/>
              <w:spacing w:line="269" w:lineRule="exact"/>
              <w:shd w:val="clear" w:color="auto" w:fill="ffffff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р/с </w:t>
            </w:r>
            <w:r>
              <w:rPr>
                <w:rFonts w:ascii="Times New Roman" w:hAnsi="Times New Roman"/>
                <w:spacing w:val="-2"/>
              </w:rPr>
            </w:r>
            <w:r>
              <w:rPr>
                <w:rFonts w:ascii="Times New Roman" w:hAnsi="Times New Roman"/>
                <w:spacing w:val="-2"/>
              </w:rPr>
            </w:r>
          </w:p>
          <w:p>
            <w:pPr>
              <w:pStyle w:val="836"/>
              <w:ind w:left="34"/>
              <w:spacing w:line="269" w:lineRule="exact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Наименование банка: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left="34"/>
              <w:spacing w:line="269" w:lineRule="exact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к/с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left="34"/>
              <w:spacing w:line="269" w:lineRule="exact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БИК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ИНН/КПП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Директор 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</w:t>
            </w:r>
            <w:r>
              <w:rPr>
                <w:rFonts w:ascii="Times New Roman" w:hAnsi="Times New Roman"/>
              </w:rPr>
              <w:t xml:space="preserve">_________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«___» _______________ 20___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Покупатель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Юр. адрес: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Почт. адрес: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банка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Р/сч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К/сч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БИК 040507601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ИНН/КПП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Директор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pStyle w:val="83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</w:t>
            </w:r>
            <w:r>
              <w:rPr>
                <w:rFonts w:ascii="Times New Roman" w:hAnsi="Times New Roman"/>
              </w:rPr>
              <w:t xml:space="preserve">______________________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«___» ___________ 20___</w:t>
            </w: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993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29" w:hanging="420"/>
        <w:tabs>
          <w:tab w:val="num" w:pos="11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rPr>
      <w:rFonts w:ascii="Arial" w:hAnsi="Arial"/>
      <w:sz w:val="24"/>
      <w:lang w:val="ru-RU" w:eastAsia="ru-RU" w:bidi="ar-SA"/>
    </w:rPr>
  </w:style>
  <w:style w:type="paragraph" w:styleId="837">
    <w:name w:val="Заголовок 1"/>
    <w:basedOn w:val="836"/>
    <w:next w:val="836"/>
    <w:link w:val="836"/>
    <w:qFormat/>
    <w:pPr>
      <w:jc w:val="both"/>
      <w:keepNext/>
      <w:outlineLvl w:val="0"/>
    </w:pPr>
    <w:rPr>
      <w:b/>
    </w:rPr>
  </w:style>
  <w:style w:type="character" w:styleId="838">
    <w:name w:val="Основной шрифт абзаца"/>
    <w:next w:val="838"/>
    <w:link w:val="836"/>
    <w:semiHidden/>
  </w:style>
  <w:style w:type="table" w:styleId="839">
    <w:name w:val="Обычная таблица"/>
    <w:next w:val="839"/>
    <w:link w:val="836"/>
    <w:semiHidden/>
    <w:tblPr/>
  </w:style>
  <w:style w:type="numbering" w:styleId="840">
    <w:name w:val="Нет списка"/>
    <w:next w:val="840"/>
    <w:link w:val="836"/>
    <w:semiHidden/>
  </w:style>
  <w:style w:type="paragraph" w:styleId="841">
    <w:name w:val="Основной текст"/>
    <w:basedOn w:val="836"/>
    <w:next w:val="841"/>
    <w:link w:val="836"/>
    <w:pPr>
      <w:jc w:val="both"/>
    </w:pPr>
  </w:style>
  <w:style w:type="paragraph" w:styleId="842">
    <w:name w:val="Название"/>
    <w:basedOn w:val="836"/>
    <w:next w:val="842"/>
    <w:link w:val="836"/>
    <w:qFormat/>
    <w:pPr>
      <w:jc w:val="center"/>
    </w:pPr>
    <w:rPr>
      <w:b/>
      <w:sz w:val="22"/>
    </w:rPr>
  </w:style>
  <w:style w:type="paragraph" w:styleId="843">
    <w:name w:val="Основной текст 2"/>
    <w:basedOn w:val="836"/>
    <w:next w:val="843"/>
    <w:link w:val="836"/>
    <w:pPr>
      <w:jc w:val="both"/>
    </w:pPr>
    <w:rPr>
      <w:sz w:val="22"/>
    </w:rPr>
  </w:style>
  <w:style w:type="paragraph" w:styleId="844">
    <w:name w:val="Основной текст 3"/>
    <w:basedOn w:val="836"/>
    <w:next w:val="844"/>
    <w:link w:val="836"/>
    <w:rPr>
      <w:sz w:val="22"/>
    </w:rPr>
  </w:style>
  <w:style w:type="paragraph" w:styleId="845">
    <w:name w:val="Основной текст с отступом"/>
    <w:basedOn w:val="836"/>
    <w:next w:val="845"/>
    <w:link w:val="836"/>
    <w:pPr>
      <w:ind w:firstLine="851"/>
      <w:jc w:val="both"/>
    </w:pPr>
    <w:rPr>
      <w:sz w:val="22"/>
    </w:rPr>
  </w:style>
  <w:style w:type="paragraph" w:styleId="846">
    <w:name w:val="Основной текст с отступом 2"/>
    <w:basedOn w:val="836"/>
    <w:next w:val="846"/>
    <w:link w:val="836"/>
    <w:pPr>
      <w:ind w:firstLine="709"/>
    </w:pPr>
    <w:rPr>
      <w:sz w:val="22"/>
    </w:rPr>
  </w:style>
  <w:style w:type="paragraph" w:styleId="847">
    <w:name w:val="Текст выноски"/>
    <w:basedOn w:val="836"/>
    <w:next w:val="847"/>
    <w:link w:val="836"/>
    <w:semiHidden/>
    <w:rPr>
      <w:rFonts w:ascii="Tahoma" w:hAnsi="Tahoma" w:cs="Tahoma"/>
      <w:sz w:val="16"/>
      <w:szCs w:val="16"/>
    </w:r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ATEC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 ПОДРЯДА</dc:title>
  <dc:creator>AXO</dc:creator>
  <cp:lastModifiedBy>starovetckaya_av</cp:lastModifiedBy>
  <cp:revision>5</cp:revision>
  <dcterms:created xsi:type="dcterms:W3CDTF">2017-11-20T03:28:00Z</dcterms:created>
  <dcterms:modified xsi:type="dcterms:W3CDTF">2026-02-10T02:25:37Z</dcterms:modified>
  <cp:version>917504</cp:version>
</cp:coreProperties>
</file>